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Tahoma"/>
          <w:bCs/>
          <w:color w:val="343434"/>
          <w:kern w:val="36"/>
          <w:szCs w:val="21"/>
        </w:rPr>
      </w:pPr>
      <w:r>
        <w:rPr>
          <w:rFonts w:hint="eastAsia" w:ascii="宋体" w:hAnsi="宋体" w:cs="Tahoma"/>
          <w:bCs/>
          <w:color w:val="343434"/>
          <w:kern w:val="36"/>
          <w:szCs w:val="21"/>
        </w:rPr>
        <w:t>快递业务员（收派）职业技能鉴定考试模拟试题（实操）</w:t>
      </w:r>
    </w:p>
    <w:p>
      <w:pPr>
        <w:jc w:val="center"/>
        <w:rPr>
          <w:rFonts w:hint="eastAsia" w:ascii="宋体" w:hAnsi="宋体" w:cs="Tahoma"/>
          <w:bCs/>
          <w:color w:val="343434"/>
          <w:kern w:val="36"/>
          <w:szCs w:val="21"/>
        </w:rPr>
      </w:pPr>
      <w:r>
        <w:rPr>
          <w:rFonts w:hint="eastAsia" w:ascii="宋体" w:hAnsi="宋体" w:cs="Tahoma"/>
          <w:bCs/>
          <w:color w:val="343434"/>
          <w:kern w:val="36"/>
          <w:szCs w:val="21"/>
        </w:rPr>
        <w:t>职业技能鉴定国家题库</w:t>
      </w:r>
    </w:p>
    <w:p>
      <w:pPr>
        <w:jc w:val="center"/>
        <w:rPr>
          <w:rFonts w:hint="eastAsia" w:ascii="宋体" w:hAnsi="宋体" w:cs="Tahoma"/>
          <w:b/>
          <w:bCs/>
          <w:color w:val="343434"/>
          <w:kern w:val="36"/>
          <w:szCs w:val="21"/>
        </w:rPr>
      </w:pPr>
      <w:r>
        <w:rPr>
          <w:rFonts w:hint="eastAsia" w:ascii="宋体" w:hAnsi="宋体" w:cs="Tahoma"/>
          <w:b/>
          <w:bCs/>
          <w:color w:val="343434"/>
          <w:kern w:val="36"/>
          <w:szCs w:val="21"/>
        </w:rPr>
        <w:t>快递业务员（快件收派）操作技能考核试卷</w:t>
      </w:r>
    </w:p>
    <w:p>
      <w:pPr>
        <w:jc w:val="center"/>
        <w:rPr>
          <w:rFonts w:hint="eastAsia" w:ascii="宋体" w:hAnsi="宋体" w:cs="Tahoma"/>
          <w:bCs/>
          <w:color w:val="343434"/>
          <w:kern w:val="36"/>
          <w:szCs w:val="21"/>
        </w:rPr>
      </w:pPr>
      <w:r>
        <w:rPr>
          <w:rFonts w:hint="eastAsia" w:ascii="宋体" w:hAnsi="宋体" w:cs="Tahoma"/>
          <w:bCs/>
          <w:color w:val="343434"/>
          <w:kern w:val="36"/>
          <w:szCs w:val="21"/>
        </w:rPr>
        <w:t>注意事项</w:t>
      </w:r>
    </w:p>
    <w:p>
      <w:pPr>
        <w:rPr>
          <w:rFonts w:hint="eastAsia" w:ascii="宋体" w:hAnsi="宋体" w:cs="Tahoma"/>
          <w:bCs/>
          <w:color w:val="343434"/>
          <w:kern w:val="36"/>
          <w:szCs w:val="21"/>
        </w:rPr>
      </w:pPr>
      <w:r>
        <w:rPr>
          <w:rFonts w:hint="eastAsia" w:ascii="宋体" w:hAnsi="宋体" w:cs="Tahoma"/>
          <w:bCs/>
          <w:color w:val="343434"/>
          <w:kern w:val="36"/>
          <w:szCs w:val="21"/>
        </w:rPr>
        <w:t>1、考试时间：60分钟。</w:t>
      </w:r>
    </w:p>
    <w:p>
      <w:pPr>
        <w:rPr>
          <w:rFonts w:hint="eastAsia" w:ascii="宋体" w:hAnsi="宋体" w:cs="Tahoma"/>
          <w:bCs/>
          <w:color w:val="343434"/>
          <w:kern w:val="36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 w:cs="Tahoma"/>
          <w:bCs/>
          <w:color w:val="343434"/>
          <w:kern w:val="36"/>
          <w:szCs w:val="21"/>
        </w:rPr>
        <w:t>考试形式：笔试。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3、本试卷依据2008年颁布的《快递业务员》国家职业技能鉴定培训标准命制。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4、请根据试题考核要求，完成考试内容。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5、请服从考评人员指挥，保证考核安全顺利进行。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一、根据所给国内快递单信息，指出其中寄件人与收件人信息中五处填写不规范。（本题分值：5分考核时间：8min  考核形式：笔试）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273040" cy="3137535"/>
            <wp:effectExtent l="0" t="0" r="3810" b="5715"/>
            <wp:docPr id="2" name="图片 1" descr="旋转 111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旋转 111 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left="1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某客户有五个快件需要发货，重量均不超过50KG，三个快件为非航空快件，尺寸分别为：（1）、10cm*80cm*155cm（2）、90cm*110cm*110cm（3）、15cm*20cm*130cm。两件为航空快件，尺寸分别为：（4）、30cm*50cm*100cm（5）、1cm*1cm*120cm。根据相关规定，这五个快件，哪个符合快件规格，哪几个不符合，请说明理由。（本题分值：5分  考核时间：6min  考核形式：笔试）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三、某一航空快件，从广州发往北京，使用纸箱包装，其尺寸为30cm*40cm*60cm快件称重共10KG，试计算资费（首重12元，20公斤以下每公斤8元）。(本题分值：11分  考核时间：5min  考核形式：笔试)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四、识别以下九个包装标志，并写出其含义。（本题分值：9分  考核时间：8min  考核形式：笔试）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"http://www.nrcc.com.cn/image/Fbz04.gif"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8" name="图片 2" descr="Fbz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Fbz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"http://www.nrcc.com.cn/image/Fbz07.gif"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5" name="图片 3" descr="Fbz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Fbz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"http://www.nrcc.com.cn/image/Fbz14.gif"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4" name="图片 4" descr="Fb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z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"http://www.nrcc.com.cn/image/Fbz01.gif"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9" name="图片 5" descr="Fbz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Fbz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"http://www.nrcc.com.cn/image/Fbz05.gif"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6" name="图片 6" descr="Fbz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bz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</w:p>
    <w:p>
      <w:pPr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    ）         （    ）          （    ）        （    ）        （    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"http://www.nrcc.com.cn/image/Fbz03.gif"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7" name="图片 7" descr="Fbz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bz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"http://www.nrcc.com.cn/image/Fbz16.gif"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10" name="图片 8" descr="Fbz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Fbz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"http://www.nrcc.com.cn/image/Fbz10.gif"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3" name="图片 9" descr="Fb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Fbz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INCLUDEPICTURE "http://www.nrcc.com.cn/image/Fbz09.gif" \* MERGEFORMATINET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drawing>
          <wp:inline distT="0" distB="0" distL="114300" distR="114300">
            <wp:extent cx="809625" cy="809625"/>
            <wp:effectExtent l="0" t="0" r="9525" b="9525"/>
            <wp:docPr id="1" name="图片 10" descr="Fbz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Fbz0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fldChar w:fldCharType="end"/>
      </w:r>
    </w:p>
    <w:p>
      <w:pPr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    ）              （    ）              （    ）               （    ）</w:t>
      </w: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五、快件派送流程分为几种，各如何操作？(本题分值：5分  考核时间：3min  考核形式：笔试)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六、识别以下五个禁限寄物品标识，并写其含义（本题分值：10分  考核时间：6min  考核形式：笔试）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"http://www.jsntmx.com/ewebeditor/uploadfile/20091217145309324.gif"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drawing>
          <wp:inline distT="0" distB="0" distL="114300" distR="114300">
            <wp:extent cx="1363345" cy="1431925"/>
            <wp:effectExtent l="0" t="0" r="8255" b="15875"/>
            <wp:docPr id="12" name="图片 11" descr="点击查看大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点击查看大图...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Arial"/>
          <w:kern w:val="0"/>
          <w:szCs w:val="21"/>
        </w:rPr>
        <w:t xml:space="preserve">     </w:t>
      </w:r>
      <w:r>
        <w:rPr>
          <w:rFonts w:ascii="宋体" w:hAnsi="宋体" w:cs="Arial"/>
          <w:kern w:val="0"/>
          <w:szCs w:val="21"/>
        </w:rPr>
        <w:fldChar w:fldCharType="begin"/>
      </w:r>
      <w:r>
        <w:rPr>
          <w:rFonts w:ascii="宋体" w:hAnsi="宋体" w:cs="Arial"/>
          <w:kern w:val="0"/>
          <w:szCs w:val="21"/>
        </w:rPr>
        <w:instrText xml:space="preserve"> INCLUDEPICTURE "http://www.shippingchina.com/ximages/bro/dang33en.gif" \* MERGEFORMATINET </w:instrText>
      </w:r>
      <w:r>
        <w:rPr>
          <w:rFonts w:ascii="宋体" w:hAnsi="宋体" w:cs="Arial"/>
          <w:kern w:val="0"/>
          <w:szCs w:val="21"/>
        </w:rPr>
        <w:fldChar w:fldCharType="separate"/>
      </w:r>
      <w:r>
        <w:rPr>
          <w:rFonts w:ascii="宋体" w:hAnsi="宋体" w:cs="Arial"/>
          <w:kern w:val="0"/>
          <w:szCs w:val="21"/>
        </w:rPr>
        <w:drawing>
          <wp:inline distT="0" distB="0" distL="114300" distR="114300">
            <wp:extent cx="1373505" cy="1429385"/>
            <wp:effectExtent l="0" t="0" r="17145" b="18415"/>
            <wp:docPr id="11" name="图片 12" descr="dang33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dang33en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Arial"/>
          <w:kern w:val="0"/>
          <w:szCs w:val="21"/>
        </w:rPr>
        <w:fldChar w:fldCharType="end"/>
      </w:r>
      <w:r>
        <w:rPr>
          <w:rFonts w:hint="eastAsia" w:ascii="宋体" w:hAnsi="宋体" w:cs="Arial"/>
          <w:kern w:val="0"/>
          <w:szCs w:val="21"/>
        </w:rPr>
        <w:t xml:space="preserve">    </w:t>
      </w:r>
      <w:r>
        <w:rPr>
          <w:rFonts w:ascii="宋体" w:hAnsi="宋体" w:cs="Arial"/>
          <w:kern w:val="0"/>
          <w:szCs w:val="21"/>
        </w:rPr>
        <w:fldChar w:fldCharType="begin"/>
      </w:r>
      <w:r>
        <w:rPr>
          <w:rFonts w:ascii="宋体" w:hAnsi="宋体" w:cs="Arial"/>
          <w:kern w:val="0"/>
          <w:szCs w:val="21"/>
        </w:rPr>
        <w:instrText xml:space="preserve"> INCLUDEPICTURE "http://www.shippingchina.com/ximages/bro/dang22en.gif" \* MERGEFORMATINET </w:instrText>
      </w:r>
      <w:r>
        <w:rPr>
          <w:rFonts w:ascii="宋体" w:hAnsi="宋体" w:cs="Arial"/>
          <w:kern w:val="0"/>
          <w:szCs w:val="21"/>
        </w:rPr>
        <w:fldChar w:fldCharType="separate"/>
      </w:r>
      <w:r>
        <w:rPr>
          <w:rFonts w:ascii="宋体" w:hAnsi="宋体" w:cs="Arial"/>
          <w:kern w:val="0"/>
          <w:szCs w:val="21"/>
        </w:rPr>
        <w:drawing>
          <wp:inline distT="0" distB="0" distL="114300" distR="114300">
            <wp:extent cx="1313815" cy="1432560"/>
            <wp:effectExtent l="0" t="0" r="635" b="15240"/>
            <wp:docPr id="13" name="图片 13" descr="dang22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ang22e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Arial"/>
          <w:kern w:val="0"/>
          <w:szCs w:val="21"/>
        </w:rPr>
        <w:fldChar w:fldCharType="end"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（         ）          （         ）           （         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"http://www.jsntmx.com/ewebeditor/uploadfile/20091217145310393.gif"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drawing>
          <wp:inline distT="0" distB="0" distL="114300" distR="114300">
            <wp:extent cx="1252855" cy="1297305"/>
            <wp:effectExtent l="0" t="0" r="4445" b="17145"/>
            <wp:docPr id="14" name="图片 14" descr="点击查看大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点击查看大图...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"http://www.jsntmx.com/ewebeditor/uploadfile/20091217145310617.gif"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drawing>
          <wp:inline distT="0" distB="0" distL="114300" distR="114300">
            <wp:extent cx="1313180" cy="1354455"/>
            <wp:effectExtent l="0" t="0" r="1270" b="17145"/>
            <wp:docPr id="15" name="图片 15" descr="点击查看大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点击查看大图...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         ）                                 （         ）</w:t>
      </w: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七、根据派送快件情况，合理安排派送路线（本题分值：20分  考核时间：8min  考核形式：笔试）。</w:t>
      </w:r>
    </w:p>
    <w:p>
      <w:pPr>
        <w:ind w:left="120" w:leftChars="57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快递员骑自行车派送，A点为网点所在地，B点需要派送一票1小时内到达的快件，E点需要派送一票价值昂贵的快件，F点需要派送一票普通包裹，C点需要派送一票普通文件，D点需要派送一票普通包裹。其中，A点到B点需要40分钟，B点到C点需要40分钟，C点到F点需要30分钟，F点到E点40分钟，E点到B点需要30分钟，E点到D点需要40分钟，A点到D点需要20分钟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tbl>
      <w:tblPr>
        <w:tblStyle w:val="4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八、快递员骑自行车派送前，将快件捆扎在自行车后座时，有哪些捆扎注意事项？（本题分值：15分  考核时间：6min  考核形式：笔试）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7904"/>
    <w:rsid w:val="398A79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2016-06-08T07:50:00Z</dcterms:created>
  <dc:creator>Administrator</dc:creator>
  <cp:lastModifiedBy>Administrator</cp:lastModifiedBy>
  <dcterms:modified xsi:type="dcterms:W3CDTF">2016-06-08T07:50:37Z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